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7A330" w14:textId="3FFD2B05" w:rsidR="00BC1FF9" w:rsidRPr="00157F9B" w:rsidRDefault="00BC1FF9" w:rsidP="00BC1FF9">
      <w:pPr>
        <w:pStyle w:val="Heading1"/>
        <w:jc w:val="center"/>
        <w:rPr>
          <w:rFonts w:ascii="Arial" w:hAnsi="Arial" w:cs="Arial"/>
          <w:color w:val="353740"/>
        </w:rPr>
      </w:pPr>
      <w:r w:rsidRPr="00157F9B">
        <w:rPr>
          <w:rFonts w:ascii="Arial" w:hAnsi="Arial" w:cs="Arial"/>
        </w:rPr>
        <w:t>Mergers and Acquisitions Support</w:t>
      </w:r>
      <w:r w:rsidRPr="00157F9B">
        <w:rPr>
          <w:rFonts w:ascii="Arial" w:hAnsi="Arial" w:cs="Arial"/>
          <w:color w:val="353740"/>
        </w:rPr>
        <w:t xml:space="preserve"> </w:t>
      </w:r>
      <w:r>
        <w:rPr>
          <w:rFonts w:ascii="Arial" w:hAnsi="Arial" w:cs="Arial"/>
          <w:color w:val="353740"/>
        </w:rPr>
        <w:br/>
      </w:r>
    </w:p>
    <w:p w14:paraId="1D6C4128" w14:textId="77777777" w:rsidR="00BC1FF9" w:rsidRPr="00157F9B" w:rsidRDefault="00BC1FF9" w:rsidP="00BC1FF9">
      <w:pPr>
        <w:pStyle w:val="NormalWeb"/>
        <w:spacing w:before="0" w:beforeAutospacing="0" w:after="120" w:afterAutospacing="0"/>
        <w:jc w:val="both"/>
        <w:rPr>
          <w:rFonts w:ascii="Arial" w:hAnsi="Arial" w:cs="Arial"/>
          <w:color w:val="353740"/>
        </w:rPr>
      </w:pPr>
      <w:r w:rsidRPr="00157F9B">
        <w:rPr>
          <w:rFonts w:ascii="Arial" w:hAnsi="Arial" w:cs="Arial"/>
          <w:color w:val="353740"/>
        </w:rPr>
        <w:t>Our team and our partners are dedicated to helping businesses navigate the complexities of M&amp;A transactions, maximizing value and minimizing risks.</w:t>
      </w:r>
    </w:p>
    <w:p w14:paraId="5D0C6868" w14:textId="77777777" w:rsidR="00BC1FF9" w:rsidRPr="00157F9B" w:rsidRDefault="00BC1FF9" w:rsidP="00BC1FF9">
      <w:pPr>
        <w:pStyle w:val="NormalWeb"/>
        <w:spacing w:before="0" w:beforeAutospacing="0" w:after="120" w:afterAutospacing="0"/>
        <w:jc w:val="both"/>
        <w:rPr>
          <w:rFonts w:ascii="Arial" w:hAnsi="Arial" w:cs="Arial"/>
          <w:color w:val="353740"/>
        </w:rPr>
      </w:pPr>
      <w:r w:rsidRPr="00157F9B">
        <w:rPr>
          <w:rFonts w:ascii="Arial" w:hAnsi="Arial" w:cs="Arial"/>
          <w:color w:val="353740"/>
        </w:rPr>
        <w:t>Key components include:</w:t>
      </w:r>
    </w:p>
    <w:p w14:paraId="400E458F" w14:textId="77777777" w:rsidR="00BC1FF9" w:rsidRPr="00157F9B" w:rsidRDefault="00BC1FF9" w:rsidP="00BC1FF9">
      <w:pPr>
        <w:pStyle w:val="NormalWeb"/>
        <w:numPr>
          <w:ilvl w:val="0"/>
          <w:numId w:val="15"/>
        </w:numPr>
        <w:spacing w:before="0" w:beforeAutospacing="0" w:after="120" w:afterAutospacing="0"/>
        <w:jc w:val="both"/>
        <w:rPr>
          <w:rFonts w:ascii="Arial" w:hAnsi="Arial" w:cs="Arial"/>
          <w:color w:val="353740"/>
        </w:rPr>
      </w:pPr>
      <w:r w:rsidRPr="00157F9B">
        <w:rPr>
          <w:rFonts w:ascii="Arial" w:hAnsi="Arial" w:cs="Arial"/>
          <w:color w:val="353740"/>
        </w:rPr>
        <w:t>Strategic Assessment: We begin by conducting a thorough analysis of your organization's strategic goals and objectives. We work closely with your leadership team to identify opportunities for growth, potential target companies, and the most suitable strategies to align with your long-term vision.</w:t>
      </w:r>
    </w:p>
    <w:p w14:paraId="7E8F4860" w14:textId="77777777" w:rsidR="00BC1FF9" w:rsidRPr="00157F9B" w:rsidRDefault="00BC1FF9" w:rsidP="00BC1FF9">
      <w:pPr>
        <w:pStyle w:val="NormalWeb"/>
        <w:numPr>
          <w:ilvl w:val="0"/>
          <w:numId w:val="15"/>
        </w:numPr>
        <w:spacing w:before="0" w:beforeAutospacing="0" w:after="120" w:afterAutospacing="0"/>
        <w:jc w:val="both"/>
        <w:rPr>
          <w:rFonts w:ascii="Arial" w:hAnsi="Arial" w:cs="Arial"/>
          <w:color w:val="353740"/>
        </w:rPr>
      </w:pPr>
      <w:r w:rsidRPr="00157F9B">
        <w:rPr>
          <w:rFonts w:ascii="Arial" w:hAnsi="Arial" w:cs="Arial"/>
          <w:color w:val="353740"/>
        </w:rPr>
        <w:t>Target Identification and Evaluation: Using our extensive industry knowledge and network, we will assist you in identifying potential target companies that align with your strategic objectives. Our team will conduct comprehensive due diligence to evaluate the financial, operational, and cultural aspects of each target, ensuring compatibility and reducing the risk of surprises during the acquisition process.</w:t>
      </w:r>
    </w:p>
    <w:p w14:paraId="59D88B60" w14:textId="77777777" w:rsidR="00BC1FF9" w:rsidRPr="00157F9B" w:rsidRDefault="00BC1FF9" w:rsidP="00BC1FF9">
      <w:pPr>
        <w:pStyle w:val="NormalWeb"/>
        <w:numPr>
          <w:ilvl w:val="0"/>
          <w:numId w:val="15"/>
        </w:numPr>
        <w:spacing w:before="0" w:beforeAutospacing="0" w:after="120" w:afterAutospacing="0"/>
        <w:jc w:val="both"/>
        <w:rPr>
          <w:rFonts w:ascii="Arial" w:hAnsi="Arial" w:cs="Arial"/>
          <w:color w:val="353740"/>
        </w:rPr>
      </w:pPr>
      <w:r w:rsidRPr="00157F9B">
        <w:rPr>
          <w:rFonts w:ascii="Arial" w:hAnsi="Arial" w:cs="Arial"/>
          <w:color w:val="353740"/>
        </w:rPr>
        <w:t>Valuation and Financial Analysis: We employ rigorous financial modeling and analysis to determine the fair value and financial viability of the target company. We help you understand the synergies, risks, and challenges associated with the acquisition, allowing you to make informed decisions and negotiate favorable deal terms.</w:t>
      </w:r>
    </w:p>
    <w:p w14:paraId="6367CF7E" w14:textId="77777777" w:rsidR="00BC1FF9" w:rsidRPr="00157F9B" w:rsidRDefault="00BC1FF9" w:rsidP="00BC1FF9">
      <w:pPr>
        <w:pStyle w:val="NormalWeb"/>
        <w:numPr>
          <w:ilvl w:val="0"/>
          <w:numId w:val="15"/>
        </w:numPr>
        <w:spacing w:before="0" w:beforeAutospacing="0" w:after="120" w:afterAutospacing="0"/>
        <w:jc w:val="both"/>
        <w:rPr>
          <w:rFonts w:ascii="Arial" w:hAnsi="Arial" w:cs="Arial"/>
          <w:color w:val="353740"/>
        </w:rPr>
      </w:pPr>
      <w:r w:rsidRPr="00157F9B">
        <w:rPr>
          <w:rFonts w:ascii="Arial" w:hAnsi="Arial" w:cs="Arial"/>
          <w:color w:val="353740"/>
        </w:rPr>
        <w:t>Deal Structuring and Negotiation: We ensure that you secure the most favorable terms and conditions for your merger or acquisition. We will guide you through the negotiation process, leveraging our deep understanding of legal, financial, and regulatory requirements to protect your interests and optimize the value creation potential of the transaction.</w:t>
      </w:r>
    </w:p>
    <w:p w14:paraId="20900B03" w14:textId="77777777" w:rsidR="00BC1FF9" w:rsidRPr="00157F9B" w:rsidRDefault="00BC1FF9" w:rsidP="00BC1FF9">
      <w:pPr>
        <w:pStyle w:val="NormalWeb"/>
        <w:numPr>
          <w:ilvl w:val="0"/>
          <w:numId w:val="15"/>
        </w:numPr>
        <w:spacing w:before="0" w:beforeAutospacing="0" w:after="120" w:afterAutospacing="0"/>
        <w:jc w:val="both"/>
        <w:rPr>
          <w:rFonts w:ascii="Arial" w:hAnsi="Arial" w:cs="Arial"/>
          <w:color w:val="353740"/>
        </w:rPr>
      </w:pPr>
      <w:r w:rsidRPr="00157F9B">
        <w:rPr>
          <w:rFonts w:ascii="Arial" w:hAnsi="Arial" w:cs="Arial"/>
          <w:color w:val="353740"/>
        </w:rPr>
        <w:t>Integration Planning: Post-transaction, we will assist you in developing a comprehensive integration plan that addresses critical areas such as organizational structure, culture alignment, systems integration, and talent retention. Our consultants will work with you to facilitate a smooth transition, minimizing disruption and maximizing the benefits of the merger or acquisition.</w:t>
      </w:r>
    </w:p>
    <w:p w14:paraId="51033DB1" w14:textId="77777777" w:rsidR="00BC1FF9" w:rsidRPr="00157F9B" w:rsidRDefault="00BC1FF9" w:rsidP="00BC1FF9">
      <w:pPr>
        <w:pStyle w:val="NormalWeb"/>
        <w:numPr>
          <w:ilvl w:val="0"/>
          <w:numId w:val="15"/>
        </w:numPr>
        <w:spacing w:before="0" w:beforeAutospacing="0" w:after="120" w:afterAutospacing="0"/>
        <w:jc w:val="both"/>
        <w:rPr>
          <w:rFonts w:ascii="Arial" w:hAnsi="Arial" w:cs="Arial"/>
          <w:color w:val="353740"/>
        </w:rPr>
      </w:pPr>
      <w:r w:rsidRPr="00157F9B">
        <w:rPr>
          <w:rFonts w:ascii="Arial" w:hAnsi="Arial" w:cs="Arial"/>
          <w:color w:val="353740"/>
        </w:rPr>
        <w:t>Post-Merger Evaluation and Optimization: We believe that a successful merger or acquisition extends beyond the deal closure. We will continue to support you in assessing the post-merger performance, identifying areas of improvement, and implementing effective strategies to optimize operations, mitigate risks, and drive value.</w:t>
      </w:r>
    </w:p>
    <w:p w14:paraId="046293B5" w14:textId="77777777" w:rsidR="00BC1FF9" w:rsidRPr="00157F9B" w:rsidRDefault="00BC1FF9" w:rsidP="00BC1FF9">
      <w:pPr>
        <w:pStyle w:val="NormalWeb"/>
        <w:spacing w:before="0" w:beforeAutospacing="0" w:after="0" w:afterAutospacing="0"/>
        <w:jc w:val="both"/>
        <w:rPr>
          <w:rFonts w:ascii="Arial" w:hAnsi="Arial" w:cs="Arial"/>
          <w:color w:val="353740"/>
        </w:rPr>
      </w:pPr>
      <w:r w:rsidRPr="00157F9B">
        <w:rPr>
          <w:rFonts w:ascii="Arial" w:hAnsi="Arial" w:cs="Arial"/>
          <w:color w:val="353740"/>
        </w:rPr>
        <w:t>By partnering with us you can confidently navigate the complex process of mergers and acquisitions, accelerate growth, and strengthen your position in the market.</w:t>
      </w:r>
    </w:p>
    <w:p w14:paraId="72A4F93F" w14:textId="4E275117" w:rsidR="005A07AC" w:rsidRPr="00BC1FF9" w:rsidRDefault="005A07AC" w:rsidP="00BC1FF9">
      <w:bookmarkStart w:id="0" w:name="_Strategic_Planning"/>
      <w:bookmarkEnd w:id="0"/>
    </w:p>
    <w:sectPr w:rsidR="005A07AC" w:rsidRPr="00BC1FF9" w:rsidSect="006451E3">
      <w:headerReference w:type="default" r:id="rId7"/>
      <w:footerReference w:type="default" r:id="rId8"/>
      <w:pgSz w:w="12240" w:h="15840"/>
      <w:pgMar w:top="1440" w:right="1080" w:bottom="1008" w:left="108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08A57" w14:textId="77777777" w:rsidR="00D12CC3" w:rsidRDefault="00D12CC3" w:rsidP="00AB5BA1">
      <w:pPr>
        <w:spacing w:after="0" w:line="240" w:lineRule="auto"/>
      </w:pPr>
      <w:r>
        <w:separator/>
      </w:r>
    </w:p>
  </w:endnote>
  <w:endnote w:type="continuationSeparator" w:id="0">
    <w:p w14:paraId="400A1965" w14:textId="77777777" w:rsidR="00D12CC3" w:rsidRDefault="00D12CC3" w:rsidP="00AB5BA1">
      <w:pPr>
        <w:spacing w:after="0" w:line="240" w:lineRule="auto"/>
      </w:pPr>
      <w:r>
        <w:continuationSeparator/>
      </w:r>
    </w:p>
  </w:endnote>
  <w:endnote w:type="continuationNotice" w:id="1">
    <w:p w14:paraId="0072306F" w14:textId="77777777" w:rsidR="00D12CC3" w:rsidRDefault="00D12C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45315" w14:textId="74EF1840" w:rsidR="00F6683E" w:rsidRDefault="00000000" w:rsidP="00A95550">
    <w:pPr>
      <w:pStyle w:val="Footer"/>
      <w:jc w:val="center"/>
      <w:rPr>
        <w:rStyle w:val="Hyperlink"/>
        <w:rFonts w:ascii="Garamond" w:hAnsi="Garamond"/>
        <w:b/>
      </w:rPr>
    </w:pPr>
    <w:hyperlink r:id="rId1" w:history="1">
      <w:r w:rsidR="00224D7C" w:rsidRPr="00D87AE5">
        <w:rPr>
          <w:rStyle w:val="Hyperlink"/>
          <w:rFonts w:ascii="Garamond" w:hAnsi="Garamond"/>
          <w:b/>
        </w:rPr>
        <w:t>chris@cjc-sc.com</w:t>
      </w:r>
    </w:hyperlink>
  </w:p>
  <w:p w14:paraId="76543227" w14:textId="77777777" w:rsidR="0007732B" w:rsidRPr="00BD1BFD" w:rsidRDefault="0007732B" w:rsidP="00A95550">
    <w:pPr>
      <w:pStyle w:val="Footer"/>
      <w:jc w:val="center"/>
      <w:rPr>
        <w:rFonts w:ascii="Garamond" w:hAnsi="Garamond"/>
        <w:b/>
        <w:color w:val="0070C0"/>
      </w:rPr>
    </w:pPr>
    <w:r w:rsidRPr="00A95550">
      <w:rPr>
        <w:rFonts w:ascii="Garamond" w:hAnsi="Garamond"/>
        <w:b/>
        <w:color w:val="0070C0"/>
      </w:rPr>
      <w:t>(703) 861-2806</w:t>
    </w:r>
    <w:r w:rsidRPr="00BD1BFD">
      <w:rPr>
        <w:rFonts w:ascii="Garamond" w:hAnsi="Garamond"/>
        <w:b/>
        <w:color w:val="0070C0"/>
      </w:rPr>
      <w:t xml:space="preserve"> </w:t>
    </w:r>
  </w:p>
  <w:p w14:paraId="1715072B" w14:textId="77777777" w:rsidR="007E6728" w:rsidRDefault="007E67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8743FF" w14:textId="77777777" w:rsidR="00D12CC3" w:rsidRDefault="00D12CC3" w:rsidP="00AB5BA1">
      <w:pPr>
        <w:spacing w:after="0" w:line="240" w:lineRule="auto"/>
      </w:pPr>
      <w:r>
        <w:separator/>
      </w:r>
    </w:p>
  </w:footnote>
  <w:footnote w:type="continuationSeparator" w:id="0">
    <w:p w14:paraId="163ECC25" w14:textId="77777777" w:rsidR="00D12CC3" w:rsidRDefault="00D12CC3" w:rsidP="00AB5BA1">
      <w:pPr>
        <w:spacing w:after="0" w:line="240" w:lineRule="auto"/>
      </w:pPr>
      <w:r>
        <w:continuationSeparator/>
      </w:r>
    </w:p>
  </w:footnote>
  <w:footnote w:type="continuationNotice" w:id="1">
    <w:p w14:paraId="2F532B02" w14:textId="77777777" w:rsidR="00D12CC3" w:rsidRDefault="00D12C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45E54" w14:textId="77777777" w:rsidR="0032627F" w:rsidRPr="0032627F" w:rsidRDefault="007C12F7" w:rsidP="00A10938">
    <w:pPr>
      <w:spacing w:before="480" w:after="120"/>
      <w:rPr>
        <w:rFonts w:ascii="Garamond" w:hAnsi="Garamond"/>
      </w:rPr>
    </w:pPr>
    <w:r>
      <w:rPr>
        <w:noProof/>
      </w:rPr>
      <mc:AlternateContent>
        <mc:Choice Requires="wps">
          <w:drawing>
            <wp:anchor distT="0" distB="0" distL="114300" distR="114300" simplePos="0" relativeHeight="251657216" behindDoc="0" locked="0" layoutInCell="1" allowOverlap="1" wp14:anchorId="7F08D5D3">
              <wp:simplePos x="0" y="0"/>
              <wp:positionH relativeFrom="column">
                <wp:posOffset>175895</wp:posOffset>
              </wp:positionH>
              <wp:positionV relativeFrom="paragraph">
                <wp:posOffset>977900</wp:posOffset>
              </wp:positionV>
              <wp:extent cx="6212205" cy="25400"/>
              <wp:effectExtent l="12700" t="12700" r="10795" b="0"/>
              <wp:wrapNone/>
              <wp:docPr id="41824069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212205" cy="25400"/>
                      </a:xfrm>
                      <a:prstGeom prst="line">
                        <a:avLst/>
                      </a:prstGeom>
                      <a:noFill/>
                      <a:ln w="19050" cap="flat" cmpd="sng" algn="ctr">
                        <a:solidFill>
                          <a:srgbClr val="1F497D"/>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5F88E9BC" id="Straight Connector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3.85pt,77pt" to="503pt,7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" strokecolor="#1f497d" strokeweight="1.5pt">
              <o:lock v:ext="edit" shapetype="f"/>
            </v:line>
          </w:pict>
        </mc:Fallback>
      </mc:AlternateContent>
    </w:r>
    <w:r>
      <w:rPr>
        <w:noProof/>
      </w:rPr>
      <w:drawing>
        <wp:anchor distT="0" distB="0" distL="114300" distR="114300" simplePos="0" relativeHeight="251658240" behindDoc="0" locked="0" layoutInCell="1" allowOverlap="1" wp14:anchorId="7B519F12">
          <wp:simplePos x="0" y="0"/>
          <wp:positionH relativeFrom="margin">
            <wp:posOffset>-546100</wp:posOffset>
          </wp:positionH>
          <wp:positionV relativeFrom="margin">
            <wp:posOffset>-1313815</wp:posOffset>
          </wp:positionV>
          <wp:extent cx="721995" cy="996950"/>
          <wp:effectExtent l="0" t="0" r="0" b="0"/>
          <wp:wrapSquare wrapText="bothSides"/>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1995" cy="996950"/>
                  </a:xfrm>
                  <a:prstGeom prst="rect">
                    <a:avLst/>
                  </a:prstGeom>
                  <a:noFill/>
                </pic:spPr>
              </pic:pic>
            </a:graphicData>
          </a:graphic>
          <wp14:sizeRelH relativeFrom="margin">
            <wp14:pctWidth>0</wp14:pctWidth>
          </wp14:sizeRelH>
          <wp14:sizeRelV relativeFrom="margin">
            <wp14:pctHeight>0</wp14:pctHeight>
          </wp14:sizeRelV>
        </wp:anchor>
      </w:drawing>
    </w:r>
    <w:r w:rsidR="00A10938">
      <w:rPr>
        <w:rFonts w:ascii="Garamond" w:hAnsi="Garamond"/>
        <w:color w:val="1F497D"/>
        <w:sz w:val="72"/>
        <w:szCs w:val="72"/>
      </w:rPr>
      <w:t xml:space="preserve"> </w:t>
    </w:r>
    <w:r w:rsidR="002B4812">
      <w:rPr>
        <w:rFonts w:ascii="Garamond" w:hAnsi="Garamond"/>
        <w:color w:val="1F497D"/>
        <w:sz w:val="72"/>
        <w:szCs w:val="72"/>
      </w:rPr>
      <w:t xml:space="preserve"> </w:t>
    </w:r>
    <w:r w:rsidR="0032627F" w:rsidRPr="00586E37">
      <w:rPr>
        <w:rFonts w:ascii="Garamond" w:hAnsi="Garamond"/>
        <w:color w:val="1F497D"/>
        <w:sz w:val="72"/>
        <w:szCs w:val="72"/>
      </w:rPr>
      <w:t>Strategic Consulting</w:t>
    </w:r>
  </w:p>
  <w:p w14:paraId="6F538A70" w14:textId="77777777" w:rsidR="0032627F" w:rsidRDefault="0032627F" w:rsidP="00A10938">
    <w:pPr>
      <w:pStyle w:val="Header"/>
      <w:ind w:left="-630" w:firstLine="630"/>
    </w:pPr>
  </w:p>
  <w:p w14:paraId="72F2E74A" w14:textId="77777777" w:rsidR="0032627F" w:rsidRDefault="00326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37FC"/>
    <w:multiLevelType w:val="multilevel"/>
    <w:tmpl w:val="E1C853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B323A"/>
    <w:multiLevelType w:val="hybridMultilevel"/>
    <w:tmpl w:val="519C5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0589E"/>
    <w:multiLevelType w:val="hybridMultilevel"/>
    <w:tmpl w:val="F15AB1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F94619B"/>
    <w:multiLevelType w:val="hybridMultilevel"/>
    <w:tmpl w:val="94F4F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811DD6"/>
    <w:multiLevelType w:val="hybridMultilevel"/>
    <w:tmpl w:val="C840D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426FFC"/>
    <w:multiLevelType w:val="hybridMultilevel"/>
    <w:tmpl w:val="E03AC3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94F6F47"/>
    <w:multiLevelType w:val="hybridMultilevel"/>
    <w:tmpl w:val="434C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673"/>
    <w:multiLevelType w:val="hybridMultilevel"/>
    <w:tmpl w:val="C10A1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4617AE1"/>
    <w:multiLevelType w:val="hybridMultilevel"/>
    <w:tmpl w:val="AD2A8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983FB0"/>
    <w:multiLevelType w:val="hybridMultilevel"/>
    <w:tmpl w:val="22C2F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46002E"/>
    <w:multiLevelType w:val="hybridMultilevel"/>
    <w:tmpl w:val="1F961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AA60136"/>
    <w:multiLevelType w:val="multilevel"/>
    <w:tmpl w:val="62EE9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C43C50"/>
    <w:multiLevelType w:val="hybridMultilevel"/>
    <w:tmpl w:val="22F8E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861C91"/>
    <w:multiLevelType w:val="hybridMultilevel"/>
    <w:tmpl w:val="16DC7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5623AC"/>
    <w:multiLevelType w:val="multilevel"/>
    <w:tmpl w:val="753AC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DA01271"/>
    <w:multiLevelType w:val="hybridMultilevel"/>
    <w:tmpl w:val="47E80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6C343E"/>
    <w:multiLevelType w:val="multilevel"/>
    <w:tmpl w:val="FD9C0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9004382"/>
    <w:multiLevelType w:val="multilevel"/>
    <w:tmpl w:val="069E3E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06467029">
    <w:abstractNumId w:val="8"/>
  </w:num>
  <w:num w:numId="2" w16cid:durableId="218904223">
    <w:abstractNumId w:val="3"/>
  </w:num>
  <w:num w:numId="3" w16cid:durableId="1936404744">
    <w:abstractNumId w:val="12"/>
  </w:num>
  <w:num w:numId="4" w16cid:durableId="1186334922">
    <w:abstractNumId w:val="1"/>
  </w:num>
  <w:num w:numId="5" w16cid:durableId="2107727480">
    <w:abstractNumId w:val="15"/>
  </w:num>
  <w:num w:numId="6" w16cid:durableId="739399960">
    <w:abstractNumId w:val="4"/>
  </w:num>
  <w:num w:numId="7" w16cid:durableId="731198786">
    <w:abstractNumId w:val="6"/>
  </w:num>
  <w:num w:numId="8" w16cid:durableId="33163707">
    <w:abstractNumId w:val="7"/>
  </w:num>
  <w:num w:numId="9" w16cid:durableId="1917402076">
    <w:abstractNumId w:val="9"/>
  </w:num>
  <w:num w:numId="10" w16cid:durableId="1200969944">
    <w:abstractNumId w:val="2"/>
  </w:num>
  <w:num w:numId="11" w16cid:durableId="1188443191">
    <w:abstractNumId w:val="5"/>
  </w:num>
  <w:num w:numId="12" w16cid:durableId="533005211">
    <w:abstractNumId w:val="10"/>
  </w:num>
  <w:num w:numId="13" w16cid:durableId="1239711330">
    <w:abstractNumId w:val="13"/>
  </w:num>
  <w:num w:numId="14" w16cid:durableId="1405373097">
    <w:abstractNumId w:val="16"/>
  </w:num>
  <w:num w:numId="15" w16cid:durableId="1128669745">
    <w:abstractNumId w:val="11"/>
  </w:num>
  <w:num w:numId="16" w16cid:durableId="1578976717">
    <w:abstractNumId w:val="0"/>
  </w:num>
  <w:num w:numId="17" w16cid:durableId="1671326889">
    <w:abstractNumId w:val="14"/>
  </w:num>
  <w:num w:numId="18" w16cid:durableId="46289395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BA1"/>
    <w:rsid w:val="000047D5"/>
    <w:rsid w:val="00005346"/>
    <w:rsid w:val="00011D64"/>
    <w:rsid w:val="00011F0D"/>
    <w:rsid w:val="000145AC"/>
    <w:rsid w:val="00014640"/>
    <w:rsid w:val="000148D0"/>
    <w:rsid w:val="0001688C"/>
    <w:rsid w:val="00016D7E"/>
    <w:rsid w:val="00023A29"/>
    <w:rsid w:val="000316A7"/>
    <w:rsid w:val="000320F1"/>
    <w:rsid w:val="00036D02"/>
    <w:rsid w:val="00054753"/>
    <w:rsid w:val="0005605F"/>
    <w:rsid w:val="00062CDB"/>
    <w:rsid w:val="00073DE1"/>
    <w:rsid w:val="00073E2A"/>
    <w:rsid w:val="0007732B"/>
    <w:rsid w:val="000774F3"/>
    <w:rsid w:val="00081EB8"/>
    <w:rsid w:val="00084CEE"/>
    <w:rsid w:val="000A00AB"/>
    <w:rsid w:val="000A3338"/>
    <w:rsid w:val="000A6981"/>
    <w:rsid w:val="000B4074"/>
    <w:rsid w:val="000B4142"/>
    <w:rsid w:val="000D0178"/>
    <w:rsid w:val="000D1E3F"/>
    <w:rsid w:val="000D622A"/>
    <w:rsid w:val="000D6936"/>
    <w:rsid w:val="000E0D1B"/>
    <w:rsid w:val="000E23FC"/>
    <w:rsid w:val="000E2CD5"/>
    <w:rsid w:val="000F2748"/>
    <w:rsid w:val="000F414C"/>
    <w:rsid w:val="000F4762"/>
    <w:rsid w:val="000F5A0C"/>
    <w:rsid w:val="0010266C"/>
    <w:rsid w:val="001110D9"/>
    <w:rsid w:val="0011511C"/>
    <w:rsid w:val="001215A3"/>
    <w:rsid w:val="001221B4"/>
    <w:rsid w:val="0012546D"/>
    <w:rsid w:val="00126BC8"/>
    <w:rsid w:val="0013271C"/>
    <w:rsid w:val="00132E1B"/>
    <w:rsid w:val="0014074E"/>
    <w:rsid w:val="00143916"/>
    <w:rsid w:val="00147757"/>
    <w:rsid w:val="00153ACF"/>
    <w:rsid w:val="00157F9B"/>
    <w:rsid w:val="00164ED0"/>
    <w:rsid w:val="00176606"/>
    <w:rsid w:val="0017719C"/>
    <w:rsid w:val="001829C0"/>
    <w:rsid w:val="00187807"/>
    <w:rsid w:val="00190307"/>
    <w:rsid w:val="001904E7"/>
    <w:rsid w:val="001A2D3E"/>
    <w:rsid w:val="001A600A"/>
    <w:rsid w:val="001B5273"/>
    <w:rsid w:val="001B5BFD"/>
    <w:rsid w:val="001C1B3C"/>
    <w:rsid w:val="001C477E"/>
    <w:rsid w:val="001D4B7A"/>
    <w:rsid w:val="001D5E2E"/>
    <w:rsid w:val="001E1549"/>
    <w:rsid w:val="001F4632"/>
    <w:rsid w:val="001F62AC"/>
    <w:rsid w:val="00211880"/>
    <w:rsid w:val="002122E7"/>
    <w:rsid w:val="0021257B"/>
    <w:rsid w:val="002168F9"/>
    <w:rsid w:val="0022189A"/>
    <w:rsid w:val="00224D7C"/>
    <w:rsid w:val="00225839"/>
    <w:rsid w:val="00230336"/>
    <w:rsid w:val="0023204F"/>
    <w:rsid w:val="00233870"/>
    <w:rsid w:val="00235408"/>
    <w:rsid w:val="00243753"/>
    <w:rsid w:val="00250ABB"/>
    <w:rsid w:val="00252521"/>
    <w:rsid w:val="002561DF"/>
    <w:rsid w:val="002565EE"/>
    <w:rsid w:val="002630A4"/>
    <w:rsid w:val="0028229D"/>
    <w:rsid w:val="002863E4"/>
    <w:rsid w:val="002906EA"/>
    <w:rsid w:val="00293371"/>
    <w:rsid w:val="002A239F"/>
    <w:rsid w:val="002A6969"/>
    <w:rsid w:val="002B088C"/>
    <w:rsid w:val="002B4812"/>
    <w:rsid w:val="002B6C14"/>
    <w:rsid w:val="002C00F6"/>
    <w:rsid w:val="002C6D72"/>
    <w:rsid w:val="002D43B2"/>
    <w:rsid w:val="002E6B34"/>
    <w:rsid w:val="002E7F8A"/>
    <w:rsid w:val="002F5A26"/>
    <w:rsid w:val="002F77F4"/>
    <w:rsid w:val="00301CF2"/>
    <w:rsid w:val="003079C2"/>
    <w:rsid w:val="00310C63"/>
    <w:rsid w:val="00310FFF"/>
    <w:rsid w:val="00312B7B"/>
    <w:rsid w:val="00313271"/>
    <w:rsid w:val="00321AB3"/>
    <w:rsid w:val="0032627F"/>
    <w:rsid w:val="00330118"/>
    <w:rsid w:val="00332149"/>
    <w:rsid w:val="003469F4"/>
    <w:rsid w:val="00355870"/>
    <w:rsid w:val="00355BE0"/>
    <w:rsid w:val="00361A59"/>
    <w:rsid w:val="00362A33"/>
    <w:rsid w:val="00362A39"/>
    <w:rsid w:val="0036380B"/>
    <w:rsid w:val="003736C7"/>
    <w:rsid w:val="00380A0B"/>
    <w:rsid w:val="00386205"/>
    <w:rsid w:val="00392ACB"/>
    <w:rsid w:val="0039539B"/>
    <w:rsid w:val="00395CCD"/>
    <w:rsid w:val="00397A45"/>
    <w:rsid w:val="003B41F3"/>
    <w:rsid w:val="003B69ED"/>
    <w:rsid w:val="003B70DC"/>
    <w:rsid w:val="003C127A"/>
    <w:rsid w:val="003C5221"/>
    <w:rsid w:val="003D0E8E"/>
    <w:rsid w:val="003D2782"/>
    <w:rsid w:val="003D7198"/>
    <w:rsid w:val="003F5525"/>
    <w:rsid w:val="00427FB0"/>
    <w:rsid w:val="00433EF7"/>
    <w:rsid w:val="00434529"/>
    <w:rsid w:val="00445556"/>
    <w:rsid w:val="00447DDA"/>
    <w:rsid w:val="00451F5B"/>
    <w:rsid w:val="00454503"/>
    <w:rsid w:val="004631C1"/>
    <w:rsid w:val="004641F5"/>
    <w:rsid w:val="004674BE"/>
    <w:rsid w:val="00475A6B"/>
    <w:rsid w:val="0047643B"/>
    <w:rsid w:val="00480B60"/>
    <w:rsid w:val="0048255C"/>
    <w:rsid w:val="00484516"/>
    <w:rsid w:val="004B23B9"/>
    <w:rsid w:val="004D29AF"/>
    <w:rsid w:val="004D2E35"/>
    <w:rsid w:val="004D3C48"/>
    <w:rsid w:val="004E2017"/>
    <w:rsid w:val="004E4B91"/>
    <w:rsid w:val="00510795"/>
    <w:rsid w:val="00511189"/>
    <w:rsid w:val="005234DF"/>
    <w:rsid w:val="00525084"/>
    <w:rsid w:val="00535A35"/>
    <w:rsid w:val="0054477D"/>
    <w:rsid w:val="00547292"/>
    <w:rsid w:val="00547E22"/>
    <w:rsid w:val="00554195"/>
    <w:rsid w:val="00557213"/>
    <w:rsid w:val="00574B7A"/>
    <w:rsid w:val="00577E01"/>
    <w:rsid w:val="00580491"/>
    <w:rsid w:val="00586E37"/>
    <w:rsid w:val="0059292D"/>
    <w:rsid w:val="0059403C"/>
    <w:rsid w:val="005A07AC"/>
    <w:rsid w:val="005C40A0"/>
    <w:rsid w:val="005C510C"/>
    <w:rsid w:val="005D25E4"/>
    <w:rsid w:val="005D2B63"/>
    <w:rsid w:val="005E2996"/>
    <w:rsid w:val="005E774C"/>
    <w:rsid w:val="005F3113"/>
    <w:rsid w:val="00600780"/>
    <w:rsid w:val="00612B5E"/>
    <w:rsid w:val="0062113B"/>
    <w:rsid w:val="00627B58"/>
    <w:rsid w:val="006332B3"/>
    <w:rsid w:val="00641359"/>
    <w:rsid w:val="00644DF7"/>
    <w:rsid w:val="006451E3"/>
    <w:rsid w:val="006464A6"/>
    <w:rsid w:val="006464F2"/>
    <w:rsid w:val="00671DCE"/>
    <w:rsid w:val="00673254"/>
    <w:rsid w:val="0068077A"/>
    <w:rsid w:val="006815A4"/>
    <w:rsid w:val="00691A38"/>
    <w:rsid w:val="006A15C6"/>
    <w:rsid w:val="006A2F64"/>
    <w:rsid w:val="006A6D73"/>
    <w:rsid w:val="006B6830"/>
    <w:rsid w:val="006D41A3"/>
    <w:rsid w:val="006E3A72"/>
    <w:rsid w:val="006E5E85"/>
    <w:rsid w:val="006F2B1B"/>
    <w:rsid w:val="007019E1"/>
    <w:rsid w:val="00711C2E"/>
    <w:rsid w:val="00713184"/>
    <w:rsid w:val="00724098"/>
    <w:rsid w:val="00725512"/>
    <w:rsid w:val="00732887"/>
    <w:rsid w:val="00747996"/>
    <w:rsid w:val="00751260"/>
    <w:rsid w:val="00751D19"/>
    <w:rsid w:val="00752DD1"/>
    <w:rsid w:val="00753BA4"/>
    <w:rsid w:val="007545D7"/>
    <w:rsid w:val="00757F67"/>
    <w:rsid w:val="00762D1B"/>
    <w:rsid w:val="00767768"/>
    <w:rsid w:val="00775EB9"/>
    <w:rsid w:val="0078310E"/>
    <w:rsid w:val="00783176"/>
    <w:rsid w:val="007A6939"/>
    <w:rsid w:val="007A7C24"/>
    <w:rsid w:val="007B4928"/>
    <w:rsid w:val="007B4D3F"/>
    <w:rsid w:val="007B5A58"/>
    <w:rsid w:val="007B6E3A"/>
    <w:rsid w:val="007C12F7"/>
    <w:rsid w:val="007C48EB"/>
    <w:rsid w:val="007C54D6"/>
    <w:rsid w:val="007D0960"/>
    <w:rsid w:val="007E1EDF"/>
    <w:rsid w:val="007E3E22"/>
    <w:rsid w:val="007E423D"/>
    <w:rsid w:val="007E6728"/>
    <w:rsid w:val="007E6FEA"/>
    <w:rsid w:val="007F20D1"/>
    <w:rsid w:val="007F62DC"/>
    <w:rsid w:val="0080179F"/>
    <w:rsid w:val="008077C7"/>
    <w:rsid w:val="00820FAF"/>
    <w:rsid w:val="0082412B"/>
    <w:rsid w:val="008247BE"/>
    <w:rsid w:val="008250CE"/>
    <w:rsid w:val="00825E55"/>
    <w:rsid w:val="008342F7"/>
    <w:rsid w:val="008358FB"/>
    <w:rsid w:val="00836575"/>
    <w:rsid w:val="00842295"/>
    <w:rsid w:val="00847F27"/>
    <w:rsid w:val="008517BF"/>
    <w:rsid w:val="008610F3"/>
    <w:rsid w:val="00861516"/>
    <w:rsid w:val="0086471E"/>
    <w:rsid w:val="008718FF"/>
    <w:rsid w:val="00885D9F"/>
    <w:rsid w:val="008939D4"/>
    <w:rsid w:val="008B59A9"/>
    <w:rsid w:val="008C482B"/>
    <w:rsid w:val="008C5FB0"/>
    <w:rsid w:val="008E66E3"/>
    <w:rsid w:val="008F2E14"/>
    <w:rsid w:val="008F54A9"/>
    <w:rsid w:val="008F6821"/>
    <w:rsid w:val="008F6D75"/>
    <w:rsid w:val="00904EA7"/>
    <w:rsid w:val="00913E75"/>
    <w:rsid w:val="0092099B"/>
    <w:rsid w:val="00920A65"/>
    <w:rsid w:val="00925642"/>
    <w:rsid w:val="00932304"/>
    <w:rsid w:val="0094065A"/>
    <w:rsid w:val="00946B15"/>
    <w:rsid w:val="00951672"/>
    <w:rsid w:val="00955FD6"/>
    <w:rsid w:val="00956026"/>
    <w:rsid w:val="00960B8E"/>
    <w:rsid w:val="00970258"/>
    <w:rsid w:val="00974790"/>
    <w:rsid w:val="009815E7"/>
    <w:rsid w:val="00984B0E"/>
    <w:rsid w:val="009A5058"/>
    <w:rsid w:val="009A750C"/>
    <w:rsid w:val="009B5E74"/>
    <w:rsid w:val="009C5C2B"/>
    <w:rsid w:val="009C5C41"/>
    <w:rsid w:val="009C6E8D"/>
    <w:rsid w:val="009D39C4"/>
    <w:rsid w:val="009E3B99"/>
    <w:rsid w:val="009F3BFD"/>
    <w:rsid w:val="00A02202"/>
    <w:rsid w:val="00A03AEC"/>
    <w:rsid w:val="00A10938"/>
    <w:rsid w:val="00A27F22"/>
    <w:rsid w:val="00A34B3A"/>
    <w:rsid w:val="00A35213"/>
    <w:rsid w:val="00A375B5"/>
    <w:rsid w:val="00A40197"/>
    <w:rsid w:val="00A40540"/>
    <w:rsid w:val="00A62790"/>
    <w:rsid w:val="00A6335B"/>
    <w:rsid w:val="00A65826"/>
    <w:rsid w:val="00A65B43"/>
    <w:rsid w:val="00A66069"/>
    <w:rsid w:val="00A67140"/>
    <w:rsid w:val="00A707F1"/>
    <w:rsid w:val="00A81DE0"/>
    <w:rsid w:val="00A84F22"/>
    <w:rsid w:val="00A93167"/>
    <w:rsid w:val="00A94A19"/>
    <w:rsid w:val="00A95550"/>
    <w:rsid w:val="00A96947"/>
    <w:rsid w:val="00AA1D86"/>
    <w:rsid w:val="00AB5BA1"/>
    <w:rsid w:val="00AE0990"/>
    <w:rsid w:val="00AE0AC4"/>
    <w:rsid w:val="00AE7ABC"/>
    <w:rsid w:val="00AE7D0E"/>
    <w:rsid w:val="00AF02C4"/>
    <w:rsid w:val="00AF0AF0"/>
    <w:rsid w:val="00AF4481"/>
    <w:rsid w:val="00AF5268"/>
    <w:rsid w:val="00B2147A"/>
    <w:rsid w:val="00B2156A"/>
    <w:rsid w:val="00B248D7"/>
    <w:rsid w:val="00B339AE"/>
    <w:rsid w:val="00B360A3"/>
    <w:rsid w:val="00B37D82"/>
    <w:rsid w:val="00B400FB"/>
    <w:rsid w:val="00B409EA"/>
    <w:rsid w:val="00B4585C"/>
    <w:rsid w:val="00B60767"/>
    <w:rsid w:val="00B6213D"/>
    <w:rsid w:val="00B62F80"/>
    <w:rsid w:val="00B66C60"/>
    <w:rsid w:val="00B67DB3"/>
    <w:rsid w:val="00B7030E"/>
    <w:rsid w:val="00B760C4"/>
    <w:rsid w:val="00B831FE"/>
    <w:rsid w:val="00B83FF2"/>
    <w:rsid w:val="00BA2E28"/>
    <w:rsid w:val="00BB49C3"/>
    <w:rsid w:val="00BB69C1"/>
    <w:rsid w:val="00BC1FF9"/>
    <w:rsid w:val="00BC2A08"/>
    <w:rsid w:val="00BC7C83"/>
    <w:rsid w:val="00BD1BFD"/>
    <w:rsid w:val="00BD518F"/>
    <w:rsid w:val="00BD6957"/>
    <w:rsid w:val="00BD77E6"/>
    <w:rsid w:val="00BF1D43"/>
    <w:rsid w:val="00C11A79"/>
    <w:rsid w:val="00C133EC"/>
    <w:rsid w:val="00C2067C"/>
    <w:rsid w:val="00C21BEC"/>
    <w:rsid w:val="00C21E77"/>
    <w:rsid w:val="00C257C8"/>
    <w:rsid w:val="00C260C2"/>
    <w:rsid w:val="00C27E82"/>
    <w:rsid w:val="00C46127"/>
    <w:rsid w:val="00C4707A"/>
    <w:rsid w:val="00C60550"/>
    <w:rsid w:val="00C655EF"/>
    <w:rsid w:val="00C7015C"/>
    <w:rsid w:val="00C8143A"/>
    <w:rsid w:val="00C861C9"/>
    <w:rsid w:val="00C8713D"/>
    <w:rsid w:val="00C874F9"/>
    <w:rsid w:val="00C9154E"/>
    <w:rsid w:val="00CA7028"/>
    <w:rsid w:val="00CA73CB"/>
    <w:rsid w:val="00CA7502"/>
    <w:rsid w:val="00CA7B06"/>
    <w:rsid w:val="00CB179A"/>
    <w:rsid w:val="00CB307D"/>
    <w:rsid w:val="00CC388A"/>
    <w:rsid w:val="00CD5417"/>
    <w:rsid w:val="00CD758D"/>
    <w:rsid w:val="00CD76C2"/>
    <w:rsid w:val="00CE47C8"/>
    <w:rsid w:val="00CE5E2D"/>
    <w:rsid w:val="00CE7371"/>
    <w:rsid w:val="00CE7FB4"/>
    <w:rsid w:val="00D00BD3"/>
    <w:rsid w:val="00D05C7F"/>
    <w:rsid w:val="00D12CC3"/>
    <w:rsid w:val="00D27F27"/>
    <w:rsid w:val="00D30421"/>
    <w:rsid w:val="00D41009"/>
    <w:rsid w:val="00D41E57"/>
    <w:rsid w:val="00D51B66"/>
    <w:rsid w:val="00D61605"/>
    <w:rsid w:val="00D724ED"/>
    <w:rsid w:val="00D74896"/>
    <w:rsid w:val="00D7684C"/>
    <w:rsid w:val="00D802FB"/>
    <w:rsid w:val="00D80EAC"/>
    <w:rsid w:val="00D9152D"/>
    <w:rsid w:val="00D97B4F"/>
    <w:rsid w:val="00DA161A"/>
    <w:rsid w:val="00DB1088"/>
    <w:rsid w:val="00DB62CF"/>
    <w:rsid w:val="00DC02F4"/>
    <w:rsid w:val="00DC6A93"/>
    <w:rsid w:val="00DD03DF"/>
    <w:rsid w:val="00DD0ABF"/>
    <w:rsid w:val="00DD1DCE"/>
    <w:rsid w:val="00DD4974"/>
    <w:rsid w:val="00DE137F"/>
    <w:rsid w:val="00DE5629"/>
    <w:rsid w:val="00DE646F"/>
    <w:rsid w:val="00E12E31"/>
    <w:rsid w:val="00E2427D"/>
    <w:rsid w:val="00E34917"/>
    <w:rsid w:val="00E60108"/>
    <w:rsid w:val="00E63075"/>
    <w:rsid w:val="00E64B4B"/>
    <w:rsid w:val="00E7224B"/>
    <w:rsid w:val="00E805A8"/>
    <w:rsid w:val="00E83F73"/>
    <w:rsid w:val="00E9390C"/>
    <w:rsid w:val="00E957FC"/>
    <w:rsid w:val="00E95A2D"/>
    <w:rsid w:val="00E9704A"/>
    <w:rsid w:val="00EA0AAD"/>
    <w:rsid w:val="00EB2EF5"/>
    <w:rsid w:val="00EB3FDD"/>
    <w:rsid w:val="00EC00CE"/>
    <w:rsid w:val="00EC6982"/>
    <w:rsid w:val="00ED09EE"/>
    <w:rsid w:val="00ED4FB2"/>
    <w:rsid w:val="00EE34F3"/>
    <w:rsid w:val="00EE7838"/>
    <w:rsid w:val="00EF740D"/>
    <w:rsid w:val="00F0150C"/>
    <w:rsid w:val="00F015C9"/>
    <w:rsid w:val="00F04269"/>
    <w:rsid w:val="00F139BB"/>
    <w:rsid w:val="00F17C88"/>
    <w:rsid w:val="00F22BFF"/>
    <w:rsid w:val="00F3144C"/>
    <w:rsid w:val="00F31589"/>
    <w:rsid w:val="00F359B1"/>
    <w:rsid w:val="00F404A9"/>
    <w:rsid w:val="00F42187"/>
    <w:rsid w:val="00F6683E"/>
    <w:rsid w:val="00F701A2"/>
    <w:rsid w:val="00F705AC"/>
    <w:rsid w:val="00F72631"/>
    <w:rsid w:val="00F74973"/>
    <w:rsid w:val="00F82203"/>
    <w:rsid w:val="00F8407D"/>
    <w:rsid w:val="00F84916"/>
    <w:rsid w:val="00F93E1F"/>
    <w:rsid w:val="00F96817"/>
    <w:rsid w:val="00FA040B"/>
    <w:rsid w:val="00FB1049"/>
    <w:rsid w:val="00FB1AAF"/>
    <w:rsid w:val="00FB2BC3"/>
    <w:rsid w:val="00FB5825"/>
    <w:rsid w:val="00FB7EF6"/>
    <w:rsid w:val="00FC1BF8"/>
    <w:rsid w:val="00FC69D1"/>
    <w:rsid w:val="00FD0828"/>
    <w:rsid w:val="00FD2BC8"/>
    <w:rsid w:val="00FD78FE"/>
    <w:rsid w:val="00FF1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EC063"/>
  <w15:docId w15:val="{AC213766-B047-4498-B11D-9BBAFD74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E9390C"/>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5BA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B5BA1"/>
    <w:rPr>
      <w:rFonts w:ascii="Tahoma" w:hAnsi="Tahoma" w:cs="Tahoma"/>
      <w:sz w:val="16"/>
      <w:szCs w:val="16"/>
    </w:rPr>
  </w:style>
  <w:style w:type="paragraph" w:styleId="Header">
    <w:name w:val="header"/>
    <w:basedOn w:val="Normal"/>
    <w:link w:val="HeaderChar"/>
    <w:uiPriority w:val="99"/>
    <w:unhideWhenUsed/>
    <w:rsid w:val="00AB5B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5BA1"/>
  </w:style>
  <w:style w:type="paragraph" w:styleId="Footer">
    <w:name w:val="footer"/>
    <w:basedOn w:val="Normal"/>
    <w:link w:val="FooterChar"/>
    <w:uiPriority w:val="99"/>
    <w:unhideWhenUsed/>
    <w:rsid w:val="00AB5B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5BA1"/>
  </w:style>
  <w:style w:type="paragraph" w:styleId="ListParagraph">
    <w:name w:val="List Paragraph"/>
    <w:basedOn w:val="Normal"/>
    <w:uiPriority w:val="34"/>
    <w:qFormat/>
    <w:rsid w:val="0032627F"/>
    <w:pPr>
      <w:ind w:left="720"/>
      <w:contextualSpacing/>
    </w:pPr>
  </w:style>
  <w:style w:type="paragraph" w:customStyle="1" w:styleId="Body">
    <w:name w:val="Body"/>
    <w:rsid w:val="003B69ED"/>
    <w:pPr>
      <w:widowControl w:val="0"/>
      <w:pBdr>
        <w:top w:val="nil"/>
        <w:left w:val="nil"/>
        <w:bottom w:val="nil"/>
        <w:right w:val="nil"/>
        <w:between w:val="nil"/>
        <w:bar w:val="nil"/>
      </w:pBdr>
    </w:pPr>
    <w:rPr>
      <w:rFonts w:cs="Calibri"/>
      <w:color w:val="000000"/>
      <w:sz w:val="22"/>
      <w:szCs w:val="22"/>
      <w:u w:color="000000"/>
      <w:bdr w:val="nil"/>
    </w:rPr>
  </w:style>
  <w:style w:type="character" w:styleId="Hyperlink">
    <w:name w:val="Hyperlink"/>
    <w:uiPriority w:val="99"/>
    <w:unhideWhenUsed/>
    <w:rsid w:val="007E6728"/>
    <w:rPr>
      <w:color w:val="0563C1"/>
      <w:u w:val="single"/>
    </w:rPr>
  </w:style>
  <w:style w:type="character" w:styleId="UnresolvedMention">
    <w:name w:val="Unresolved Mention"/>
    <w:uiPriority w:val="99"/>
    <w:semiHidden/>
    <w:unhideWhenUsed/>
    <w:rsid w:val="007E6728"/>
    <w:rPr>
      <w:color w:val="605E5C"/>
      <w:shd w:val="clear" w:color="auto" w:fill="E1DFDD"/>
    </w:rPr>
  </w:style>
  <w:style w:type="paragraph" w:styleId="NormalWeb">
    <w:name w:val="Normal (Web)"/>
    <w:basedOn w:val="Normal"/>
    <w:uiPriority w:val="99"/>
    <w:unhideWhenUsed/>
    <w:rsid w:val="00C8143A"/>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E9390C"/>
    <w:rPr>
      <w:rFonts w:ascii="Calibri Light" w:eastAsia="Times New Roman" w:hAnsi="Calibri Light" w:cs="Times New Roman"/>
      <w:b/>
      <w:bCs/>
      <w:kern w:val="32"/>
      <w:sz w:val="32"/>
      <w:szCs w:val="32"/>
    </w:rPr>
  </w:style>
  <w:style w:type="character" w:styleId="FollowedHyperlink">
    <w:name w:val="FollowedHyperlink"/>
    <w:uiPriority w:val="99"/>
    <w:semiHidden/>
    <w:unhideWhenUsed/>
    <w:rsid w:val="003D278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485499">
      <w:bodyDiv w:val="1"/>
      <w:marLeft w:val="0"/>
      <w:marRight w:val="0"/>
      <w:marTop w:val="0"/>
      <w:marBottom w:val="0"/>
      <w:divBdr>
        <w:top w:val="none" w:sz="0" w:space="0" w:color="auto"/>
        <w:left w:val="none" w:sz="0" w:space="0" w:color="auto"/>
        <w:bottom w:val="none" w:sz="0" w:space="0" w:color="auto"/>
        <w:right w:val="none" w:sz="0" w:space="0" w:color="auto"/>
      </w:divBdr>
    </w:div>
    <w:div w:id="161363173">
      <w:bodyDiv w:val="1"/>
      <w:marLeft w:val="0"/>
      <w:marRight w:val="0"/>
      <w:marTop w:val="0"/>
      <w:marBottom w:val="0"/>
      <w:divBdr>
        <w:top w:val="none" w:sz="0" w:space="0" w:color="auto"/>
        <w:left w:val="none" w:sz="0" w:space="0" w:color="auto"/>
        <w:bottom w:val="none" w:sz="0" w:space="0" w:color="auto"/>
        <w:right w:val="none" w:sz="0" w:space="0" w:color="auto"/>
      </w:divBdr>
    </w:div>
    <w:div w:id="201022102">
      <w:bodyDiv w:val="1"/>
      <w:marLeft w:val="0"/>
      <w:marRight w:val="0"/>
      <w:marTop w:val="0"/>
      <w:marBottom w:val="0"/>
      <w:divBdr>
        <w:top w:val="none" w:sz="0" w:space="0" w:color="auto"/>
        <w:left w:val="none" w:sz="0" w:space="0" w:color="auto"/>
        <w:bottom w:val="none" w:sz="0" w:space="0" w:color="auto"/>
        <w:right w:val="none" w:sz="0" w:space="0" w:color="auto"/>
      </w:divBdr>
    </w:div>
    <w:div w:id="1561667157">
      <w:bodyDiv w:val="1"/>
      <w:marLeft w:val="0"/>
      <w:marRight w:val="0"/>
      <w:marTop w:val="0"/>
      <w:marBottom w:val="0"/>
      <w:divBdr>
        <w:top w:val="none" w:sz="0" w:space="0" w:color="auto"/>
        <w:left w:val="none" w:sz="0" w:space="0" w:color="auto"/>
        <w:bottom w:val="none" w:sz="0" w:space="0" w:color="auto"/>
        <w:right w:val="none" w:sz="0" w:space="0" w:color="auto"/>
      </w:divBdr>
    </w:div>
    <w:div w:id="1673216433">
      <w:bodyDiv w:val="1"/>
      <w:marLeft w:val="0"/>
      <w:marRight w:val="0"/>
      <w:marTop w:val="0"/>
      <w:marBottom w:val="0"/>
      <w:divBdr>
        <w:top w:val="none" w:sz="0" w:space="0" w:color="auto"/>
        <w:left w:val="none" w:sz="0" w:space="0" w:color="auto"/>
        <w:bottom w:val="none" w:sz="0" w:space="0" w:color="auto"/>
        <w:right w:val="none" w:sz="0" w:space="0" w:color="auto"/>
      </w:divBdr>
    </w:div>
    <w:div w:id="178226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chris@cjc-s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2469</CharactersWithSpaces>
  <SharedDoc>false</SharedDoc>
  <HLinks>
    <vt:vector size="6" baseType="variant">
      <vt:variant>
        <vt:i4>7602254</vt:i4>
      </vt:variant>
      <vt:variant>
        <vt:i4>0</vt:i4>
      </vt:variant>
      <vt:variant>
        <vt:i4>0</vt:i4>
      </vt:variant>
      <vt:variant>
        <vt:i4>5</vt:i4>
      </vt:variant>
      <vt:variant>
        <vt:lpwstr>mailto:cjc.strategic.consulting@gmail.com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corgnati@cox.net</dc:creator>
  <cp:keywords/>
  <cp:lastModifiedBy>Luiz Henrique Tiburcio de Andrade</cp:lastModifiedBy>
  <cp:revision>2</cp:revision>
  <cp:lastPrinted>2019-04-03T21:53:00Z</cp:lastPrinted>
  <dcterms:created xsi:type="dcterms:W3CDTF">2023-12-11T20:23:00Z</dcterms:created>
  <dcterms:modified xsi:type="dcterms:W3CDTF">2023-12-11T20:23:00Z</dcterms:modified>
</cp:coreProperties>
</file>